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sz w:val="36"/>
          <w:szCs w:val="36"/>
          <w:u w:val="none"/>
          <w:lang w:eastAsia="zh-CN"/>
        </w:rPr>
      </w:pPr>
      <w:bookmarkStart w:id="0" w:name="_GoBack"/>
      <w:bookmarkEnd w:id="0"/>
      <w:r>
        <w:rPr>
          <w:rFonts w:hint="eastAsia" w:ascii="方正小标宋_GBK" w:hAnsi="方正小标宋_GBK" w:eastAsia="方正小标宋_GBK" w:cs="方正小标宋_GBK"/>
          <w:color w:val="000000"/>
          <w:sz w:val="44"/>
          <w:szCs w:val="44"/>
          <w:u w:val="none"/>
          <w:lang w:eastAsia="zh-CN"/>
        </w:rPr>
        <w:t>信阳市加快推动现代服务业发展实施方案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 w:hAnsi="楷体" w:eastAsia="楷体" w:cs="楷体"/>
          <w:color w:val="000000"/>
          <w:kern w:val="2"/>
          <w:sz w:val="32"/>
          <w:szCs w:val="32"/>
          <w:u w:val="none"/>
          <w:lang w:val="en-US" w:eastAsia="zh-CN" w:bidi="ar-SA"/>
        </w:rPr>
      </w:pPr>
      <w:r>
        <w:rPr>
          <w:rFonts w:hint="eastAsia" w:ascii="楷体" w:hAnsi="楷体" w:eastAsia="楷体" w:cs="楷体"/>
          <w:color w:val="000000"/>
          <w:kern w:val="2"/>
          <w:sz w:val="32"/>
          <w:szCs w:val="32"/>
          <w:u w:val="none"/>
          <w:lang w:val="en-US" w:eastAsia="zh-CN" w:bidi="ar-SA"/>
        </w:rPr>
        <w:t>（征求意见稿）</w:t>
      </w:r>
    </w:p>
    <w:p>
      <w:pPr>
        <w:pStyle w:val="2"/>
        <w:rPr>
          <w:rFonts w:hint="eastAsia"/>
          <w:u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000000"/>
          <w:sz w:val="32"/>
          <w:szCs w:val="32"/>
          <w:u w:val="none"/>
          <w:lang w:val="en-US" w:eastAsia="zh-CN"/>
        </w:rPr>
      </w:pPr>
      <w:r>
        <w:rPr>
          <w:rFonts w:hint="eastAsia"/>
          <w:color w:val="000000"/>
          <w:sz w:val="32"/>
          <w:szCs w:val="32"/>
          <w:u w:val="none"/>
          <w:lang w:val="en-US" w:eastAsia="zh-CN"/>
        </w:rPr>
        <w:t xml:space="preserve">   </w:t>
      </w:r>
      <w:r>
        <w:rPr>
          <w:rFonts w:hint="eastAsia" w:ascii="方正仿宋_GBK" w:hAnsi="方正仿宋_GBK" w:eastAsia="方正仿宋_GBK" w:cs="方正仿宋_GBK"/>
          <w:color w:val="000000"/>
          <w:sz w:val="32"/>
          <w:szCs w:val="32"/>
          <w:u w:val="none"/>
          <w:lang w:val="en-US" w:eastAsia="zh-CN"/>
        </w:rPr>
        <w:t xml:space="preserve"> 为深入贯彻落实党中央、国务院、省委省政府有关决策部署，充分发挥服务业在经济转型发展中的驱动作用，进一步提升全市服务业整体发展水平，加快推动我市现代服务业高质量发展，制定本实施方案。</w:t>
      </w:r>
    </w:p>
    <w:p>
      <w:pPr>
        <w:bidi w:val="0"/>
        <w:jc w:val="both"/>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color w:val="000000"/>
          <w:sz w:val="32"/>
          <w:szCs w:val="32"/>
          <w:u w:val="none"/>
          <w:lang w:val="en-US" w:eastAsia="zh-CN"/>
        </w:rPr>
        <w:t>一、总体要求</w:t>
      </w:r>
    </w:p>
    <w:p>
      <w:pPr>
        <w:bidi w:val="0"/>
        <w:ind w:firstLine="56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（一）基本思路</w:t>
      </w:r>
    </w:p>
    <w:p>
      <w:pPr>
        <w:bidi w:val="0"/>
        <w:ind w:firstLine="560"/>
        <w:jc w:val="both"/>
        <w:rPr>
          <w:rFonts w:hint="eastAsia" w:ascii="仿宋_GB2312" w:hAnsi="仿宋_GB2312" w:eastAsia="仿宋_GB2312" w:cs="仿宋_GB2312"/>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以习近平新时代中国特色社会主义思想为指导，认真践行新发展理念，深刻理解服务业创新发展、开放发展、融合发展、集聚发展、绿色发展的趋势，抢抓国家物流枢纽建设等机遇，紧紧围绕我市主导产业发展，持续推动服务业供给侧结构性改革，不断创新服务业发展的新业态、新模式、新领域，加快构建特色鲜明、带动力强、载体完善、集聚效应明显的服务业发展格局，为推动全市现代服务业高质量发展、确保高水平实现现代化信阳提供坚实支撑。</w:t>
      </w:r>
    </w:p>
    <w:p>
      <w:pPr>
        <w:tabs>
          <w:tab w:val="left" w:pos="623"/>
        </w:tabs>
        <w:bidi w:val="0"/>
        <w:jc w:val="both"/>
        <w:rPr>
          <w:rFonts w:hint="eastAsia" w:ascii="仿宋_GB2312" w:hAnsi="仿宋_GB2312" w:eastAsia="仿宋_GB2312" w:cs="仿宋_GB2312"/>
          <w:b/>
          <w:bCs/>
          <w:color w:val="000000"/>
          <w:sz w:val="32"/>
          <w:szCs w:val="32"/>
          <w:u w:val="none"/>
          <w:lang w:val="en-US" w:eastAsia="zh-CN"/>
        </w:rPr>
      </w:pPr>
      <w:r>
        <w:rPr>
          <w:rFonts w:hint="eastAsia" w:cs="Times New Roman"/>
          <w:color w:val="000000"/>
          <w:kern w:val="2"/>
          <w:sz w:val="32"/>
          <w:szCs w:val="32"/>
          <w:u w:val="none"/>
          <w:lang w:val="en-US" w:eastAsia="zh-CN" w:bidi="ar-SA"/>
        </w:rPr>
        <w:tab/>
      </w:r>
      <w:r>
        <w:rPr>
          <w:rFonts w:hint="eastAsia" w:ascii="仿宋_GB2312" w:hAnsi="仿宋_GB2312" w:eastAsia="仿宋_GB2312" w:cs="仿宋_GB2312"/>
          <w:b/>
          <w:bCs/>
          <w:color w:val="000000"/>
          <w:sz w:val="32"/>
          <w:szCs w:val="32"/>
          <w:u w:val="none"/>
          <w:lang w:val="en-US" w:eastAsia="zh-CN"/>
        </w:rPr>
        <w:t>（二）总体目标</w:t>
      </w:r>
    </w:p>
    <w:p>
      <w:pPr>
        <w:tabs>
          <w:tab w:val="left" w:pos="753"/>
        </w:tabs>
        <w:bidi w:val="0"/>
        <w:ind w:firstLine="640" w:firstLineChars="200"/>
        <w:jc w:val="both"/>
        <w:rPr>
          <w:rFonts w:hint="eastAsia" w:ascii="仿宋_GB2312" w:hAnsi="仿宋_GB2312" w:eastAsia="仿宋_GB2312" w:cs="仿宋_GB2312"/>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到2025年，现代服务业体系进一步完善，现代服务业强市建设取得重大进展。全市服务业增加值年均增长10%左右，固定资产投资年均增长10%；从业人员占全社会从业人员比重达到50%，服务业税收、从业人员规模稳步提升；全市社会物流总额突破5000亿元，物流行业收入规模突破500亿元。服务业结构显著优化，建立健全与我市制造业相匹配的平台经济、仓储物流、科技金融、信息服务等生产性服务业体系，高标准打造全域旅游示范区，积极建设城市“商圈经济”，推动商贸流通、文化旅游等生活性服务业向高品质和多样化升级，营造我市宜居宜业宜创的优良环境。</w:t>
      </w:r>
    </w:p>
    <w:p>
      <w:pPr>
        <w:bidi w:val="0"/>
        <w:ind w:firstLine="593" w:firstLineChars="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（三）发展路径</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cs="Times New Roman"/>
          <w:color w:val="000000"/>
          <w:kern w:val="2"/>
          <w:sz w:val="32"/>
          <w:szCs w:val="32"/>
          <w:u w:val="none"/>
          <w:lang w:val="en-US" w:eastAsia="zh-CN" w:bidi="ar-SA"/>
        </w:rPr>
        <w:tab/>
      </w:r>
      <w:r>
        <w:rPr>
          <w:rFonts w:hint="eastAsia" w:ascii="方正仿宋_GBK" w:hAnsi="方正仿宋_GBK" w:eastAsia="方正仿宋_GBK" w:cs="方正仿宋_GBK"/>
          <w:color w:val="000000"/>
          <w:sz w:val="32"/>
          <w:szCs w:val="32"/>
          <w:u w:val="none"/>
          <w:lang w:val="en-US" w:eastAsia="zh-CN"/>
        </w:rPr>
        <w:t>1.坚持创新发展。强化互联网、人工智能技术等新一代信息技术在服务领域的深度应用，加快传统服务业改造提升，推动传统服务业管理、产品、业务和发展模式创新发展，大力培育新兴服务业。</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2.坚持融合发展。顺应服务业发展融合化、多样化趋势，推进服务业与农业、制造业以及服务业不同领域之间的深度融合，不断拓展服务业发展领域。</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ab/>
      </w:r>
      <w:r>
        <w:rPr>
          <w:rFonts w:hint="eastAsia" w:ascii="方正仿宋_GBK" w:hAnsi="方正仿宋_GBK" w:eastAsia="方正仿宋_GBK" w:cs="方正仿宋_GBK"/>
          <w:color w:val="000000"/>
          <w:sz w:val="32"/>
          <w:szCs w:val="32"/>
          <w:u w:val="none"/>
          <w:lang w:val="en-US" w:eastAsia="zh-CN"/>
        </w:rPr>
        <w:t>3.坚持协同发展。依托各类开发区和专业园区，加大国内现代服务业龙头企业引进力度，积极培育本土优势服务企业发展壮大，加快推进项目建设，逐步形成龙头带动、配套完善、集聚发展的发展局面。提升中心城区服务功能和辐射带动作用，完善多层级服务业载体体系，形成协同互补、各具特色的区域发展格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4.坚持特色发展。聚集重点领域和关键环节，加快补足产业发展短板，催生优势行业和领域，促进现代服务业全面发展。鼓励各县(区)发挥比较优势，因地制宜发展各具特色的现代服务业。</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坚持品质发展。坚持新消费引领新供给、新供给创造新需求，着力扩大高科技含量、高产业附加、高满意度体验的优质服务供给，增强供给结构对需求变化的适应性和灵活性，打造以质量、品牌为核心的竞争优势，提高服务业发展质量和效率。</w:t>
      </w:r>
    </w:p>
    <w:p>
      <w:pPr>
        <w:tabs>
          <w:tab w:val="left" w:pos="753"/>
        </w:tabs>
        <w:bidi w:val="0"/>
        <w:ind w:firstLine="640" w:firstLineChars="200"/>
        <w:jc w:val="both"/>
        <w:rPr>
          <w:rFonts w:hint="eastAsia" w:ascii="仿宋_GB2312" w:hAnsi="仿宋_GB2312" w:eastAsia="仿宋_GB2312" w:cs="仿宋_GB2312"/>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6.坚持开放发展。大力优化营商环境，打破制约现代服务业发展的体制机制障碍，加强开放合作，大力发展服务贸易，进一步拓展空间、提升实力。</w:t>
      </w:r>
    </w:p>
    <w:p>
      <w:pPr>
        <w:tabs>
          <w:tab w:val="left" w:pos="813"/>
        </w:tabs>
        <w:bidi w:val="0"/>
        <w:ind w:firstLine="640"/>
        <w:jc w:val="both"/>
        <w:rPr>
          <w:rFonts w:hint="eastAsia" w:ascii="方正黑体_GBK" w:hAnsi="方正黑体_GBK" w:eastAsia="方正黑体_GBK" w:cs="方正黑体_GBK"/>
          <w:color w:val="000000"/>
          <w:sz w:val="32"/>
          <w:szCs w:val="32"/>
          <w:u w:val="none"/>
          <w:lang w:val="en-US" w:eastAsia="zh-CN"/>
        </w:rPr>
      </w:pPr>
      <w:r>
        <w:rPr>
          <w:rFonts w:hint="eastAsia" w:ascii="方正黑体_GBK" w:hAnsi="方正黑体_GBK" w:eastAsia="方正黑体_GBK" w:cs="方正黑体_GBK"/>
          <w:color w:val="000000"/>
          <w:sz w:val="32"/>
          <w:szCs w:val="32"/>
          <w:u w:val="none"/>
          <w:lang w:val="en-US" w:eastAsia="zh-CN"/>
        </w:rPr>
        <w:t>二、主要任务</w:t>
      </w:r>
    </w:p>
    <w:p>
      <w:pPr>
        <w:tabs>
          <w:tab w:val="left" w:pos="813"/>
        </w:tabs>
        <w:bidi w:val="0"/>
        <w:ind w:firstLine="640"/>
        <w:jc w:val="both"/>
        <w:rPr>
          <w:rFonts w:hint="eastAsia" w:ascii="方正楷体_GBK" w:hAnsi="方正楷体_GBK" w:eastAsia="方正楷体_GBK" w:cs="方正楷体_GBK"/>
          <w:b/>
          <w:bCs/>
          <w:color w:val="000000"/>
          <w:sz w:val="32"/>
          <w:szCs w:val="32"/>
          <w:u w:val="none"/>
          <w:lang w:val="en-US" w:eastAsia="zh-CN"/>
        </w:rPr>
      </w:pPr>
      <w:r>
        <w:rPr>
          <w:rFonts w:hint="eastAsia" w:ascii="方正楷体_GBK" w:hAnsi="方正楷体_GBK" w:eastAsia="方正楷体_GBK" w:cs="方正楷体_GBK"/>
          <w:b/>
          <w:bCs/>
          <w:color w:val="000000"/>
          <w:sz w:val="32"/>
          <w:szCs w:val="32"/>
          <w:u w:val="none"/>
          <w:lang w:val="en-US" w:eastAsia="zh-CN"/>
        </w:rPr>
        <w:t>（一）培育壮大生产性服务业</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1、持续完善现代物流体系</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依托信阳经开区、潢川经开区，按照“一枢纽两片区”的思路，加快完善商贸物流配套功能，依托铁路运输和大宗物资物流基础补足国际物流、多式联运短板，积极申创商贸服务型国家物流枢纽。（市发改委、市交通局、市商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（2）推进公、铁、空、水多式联运发展，加快区域性综合运输通道建设，</w:t>
      </w:r>
      <w:r>
        <w:rPr>
          <w:rFonts w:hint="default" w:ascii="Times New Roman" w:hAnsi="Times New Roman" w:eastAsia="仿宋_GB2312" w:cs="Times New Roman"/>
          <w:color w:val="auto"/>
          <w:spacing w:val="8"/>
          <w:sz w:val="32"/>
          <w:szCs w:val="32"/>
          <w:u w:val="none"/>
          <w:shd w:val="clear" w:color="auto" w:fill="FFFFFF"/>
          <w:lang w:eastAsia="zh-CN"/>
        </w:rPr>
        <w:t>开工建设南信合高铁，重点建设许信、安罗、沿大别山等高速公路项目</w:t>
      </w:r>
      <w:r>
        <w:rPr>
          <w:rFonts w:hint="eastAsia" w:ascii="Times New Roman" w:hAnsi="Times New Roman" w:eastAsia="仿宋_GB2312" w:cs="Times New Roman"/>
          <w:color w:val="auto"/>
          <w:spacing w:val="8"/>
          <w:sz w:val="32"/>
          <w:szCs w:val="32"/>
          <w:u w:val="none"/>
          <w:shd w:val="clear" w:color="auto" w:fill="FFFFFF"/>
          <w:lang w:eastAsia="zh-CN"/>
        </w:rPr>
        <w:t>，</w:t>
      </w:r>
      <w:r>
        <w:rPr>
          <w:rFonts w:hint="default" w:ascii="Times New Roman" w:hAnsi="Times New Roman" w:eastAsia="仿宋_GB2312" w:cs="Times New Roman"/>
          <w:color w:val="auto"/>
          <w:spacing w:val="8"/>
          <w:sz w:val="32"/>
          <w:szCs w:val="32"/>
          <w:u w:val="none"/>
          <w:shd w:val="clear" w:color="auto" w:fill="FFFFFF"/>
        </w:rPr>
        <w:t>加快淮河</w:t>
      </w:r>
      <w:r>
        <w:rPr>
          <w:rFonts w:hint="default" w:ascii="Times New Roman" w:hAnsi="Times New Roman" w:eastAsia="仿宋_GB2312" w:cs="Times New Roman"/>
          <w:color w:val="auto"/>
          <w:spacing w:val="8"/>
          <w:sz w:val="32"/>
          <w:szCs w:val="32"/>
          <w:u w:val="none"/>
          <w:shd w:val="clear" w:color="auto" w:fill="FFFFFF"/>
          <w:lang w:eastAsia="zh-CN"/>
        </w:rPr>
        <w:t>航道升级改造和信阳港口</w:t>
      </w:r>
      <w:r>
        <w:rPr>
          <w:rFonts w:hint="default" w:ascii="Times New Roman" w:hAnsi="Times New Roman" w:eastAsia="仿宋_GB2312" w:cs="Times New Roman"/>
          <w:color w:val="auto"/>
          <w:spacing w:val="8"/>
          <w:sz w:val="32"/>
          <w:szCs w:val="32"/>
          <w:u w:val="none"/>
          <w:shd w:val="clear" w:color="auto" w:fill="FFFFFF"/>
        </w:rPr>
        <w:t>建设</w:t>
      </w:r>
      <w:r>
        <w:rPr>
          <w:rFonts w:hint="eastAsia" w:ascii="方正仿宋_GBK" w:hAnsi="方正仿宋_GBK" w:eastAsia="方正仿宋_GBK" w:cs="方正仿宋_GBK"/>
          <w:color w:val="000000"/>
          <w:sz w:val="32"/>
          <w:szCs w:val="32"/>
          <w:u w:val="none"/>
          <w:lang w:val="en-US" w:eastAsia="zh-CN"/>
        </w:rPr>
        <w:t>。（市发改委、市交通局、市民航局、市港务中心）</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积极培育具有全产业链服务能力的供应链服务平台企业，发展壮大物流产业龙头，开工建设潢川县开发区大别山铁路货运综合物流园冷链物流园、信阳市平桥区新时代物流园（二期）等重大项目。（市商务局、市投资促进中心）</w:t>
      </w:r>
    </w:p>
    <w:p>
      <w:pPr>
        <w:tabs>
          <w:tab w:val="left" w:pos="753"/>
        </w:tabs>
        <w:bidi w:val="0"/>
        <w:ind w:firstLine="640" w:firstLineChars="200"/>
        <w:jc w:val="both"/>
        <w:rPr>
          <w:rFonts w:hint="default"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（4）围绕完善城市功能，布局专用仓储、应急隔离、快速中转等类项目，建设平时服务、急时应急，区域性应急储备库及物流中转库的服务设施，加快推进</w:t>
      </w:r>
      <w:r>
        <w:rPr>
          <w:rFonts w:hint="eastAsia" w:ascii="方正仿宋_GBK" w:hAnsi="方正仿宋_GBK" w:eastAsia="方正仿宋_GBK" w:cs="方正仿宋_GBK"/>
          <w:color w:val="000000"/>
          <w:sz w:val="32"/>
          <w:szCs w:val="32"/>
          <w:highlight w:val="none"/>
          <w:u w:val="none"/>
          <w:lang w:val="en-US" w:eastAsia="zh-CN"/>
        </w:rPr>
        <w:t>信阳医药集团地方应急物资储备库、豫南综合应急救援保障基地等重大项目建设。</w:t>
      </w:r>
      <w:r>
        <w:rPr>
          <w:rFonts w:hint="eastAsia" w:ascii="方正仿宋_GBK" w:hAnsi="方正仿宋_GBK" w:eastAsia="方正仿宋_GBK" w:cs="方正仿宋_GBK"/>
          <w:color w:val="000000"/>
          <w:sz w:val="32"/>
          <w:szCs w:val="32"/>
          <w:u w:val="none"/>
          <w:lang w:val="en-US" w:eastAsia="zh-CN"/>
        </w:rPr>
        <w:t>（市商务局、市应急管理局、市邮政管理局、市农业农村局、市粮食和物资储备局）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支持工业物流、电商物流、城乡配送物流多业联动，点网结合，构建绿色、高效的现代物流体系。围绕全市开发区、商贸集散中心，规划建设专业物流配送中心和快件处理中心，加快推进信阳工业城物流快递分拨中心、信阳汇泽电子产业园及国际物流配送中心等一批重点项目建设。（市商务局、市农业农村局、市邮政管理局、市发改委、市交通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6）针对生鲜果蔬等产品，加强销售终端冷库和冷柜配置，积极推进“中央厨房+食材冷链配送”“互联网+装备租赁”等冷链物流模式创新，开工建设新县大别山综合物流开发项目、光山县县域商业体系建设项目、信阳西亚现代物流信息中心（二期）等一批项目。（市农业农村局、市商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7）加快物流园区智慧化改造升级，积极开展省级智慧物流园区试点，争创省智能化仓储物流示范基地，开工建设河南通达物流产业园、商城县电子商务产业服务中心、淮滨县智慧电商物流园等一批重点项目。根据开发区改革实际，推进原商务中心区和中心商务局整合转型发展。（市发改委、市商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（8）依托信阳港·淮滨中心港区，打造水路运输类海关监管作业场所（内河港口二类口岸）和保税物流中心（B）型)。(市发改委、市海关、市港务中心)</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2、持续创新现代金融服务</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（1）积极引进省内外金融机构来信设点展业，支持现有银行、证券、保险等金融机构合理增加分支机构和营业网点，特别是在开发区和物流园区。（市金融工作局、人行信阳中心支行、市银保监局）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大力发展绿色金融、普惠金融、科技金融，加大对科技创新、小微企业、绿色发展、农村生产要素流转融资支持。积极争创全国普惠金融改革试验区。推进羊山、潢川、淮滨科技和金融结合试点。全力申建绿色金融改革创新试验区。（市金融工作局、人行信阳中心支行、信阳银保监分局、市发改委）</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（3）加强对行业骨干龙头企业的支持，积极探索以行业骨干龙头企业信用为保障，发展应收帐款质押、货权质押等融资方式，发展供应链金融。（人行信阳中心支行、市金融工作局）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支持市属企业和龙头企业盘活现有资产，加快设立政府和国资系产业引导基金，利用产业基金不用并表、不是重资产、可进可退的优势，推动国有资本积极投向和布局现代服务业。探索设立产业发展引导基金或组建融资租赁公司，推进基金和融资租赁在先进制造业和现代服务业融合发展方面发挥支持和引导作用。（市发改委、市财政局、市国有资本运营公司、市金融工作局、市工信局、市科技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将中央彩票公益金、中央预算内投资支持地方资金、中央居家社区养老服务改革试点奖补资金、市区两级财政和福彩公益金等财政补贴资金重点向养老服务领域倾斜，优化整合各类财政资金和政策奖补资金，统筹用于扶持养老服务发展，支持社会化养老服务行业做大做强、健康发展。（市财政局、市国有资本运营公司）</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（6）强化金融风险防控力度，研究以新一代信息技术为支撑的金融监管预警体系，提高金融风险防范能力。（人行信阳支行、信阳银保监分局、市公安局）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3、持续深入推进科技服务</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（1）加快智慧岛建设，探索“众创空间-孵化器-加速器-科技产业园”的全链条孵化产业化体系，加快创新创业孵化平台建设。（市发改委、市科技局、羊山新区管委会、南湾管委会）</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积极培育新型研发机构，加强对培育对象的业务指导和扶持，进一步完善科研机构运行管理机制。积极鼓励企业自主开展重点领域、关键环节科技研发，到2025年争取新建200家省级及以上创新中心和新型研发机构。（市科技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加快推进科技类市场建设，积极对接省技术交易市场服务网络，依托智慧岛建设市技术交易市场。支持高校、科研院所和科技型企业设立技术转移机构，探索“高校院所+转化公司+科创金融”科技成果转化模式。到2025年争取全市技术合同成交额突破45亿元。（市科技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积极推进中介服务发展，推进知识产权、创业孵化等行业提质发展，加大检验检测、科技咨询、工业设计等行业的培育力度，力争到2025年建设一批省级工业设计中心。（市工信局、市市场监管局、市科技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4、持续做大信息服务规模</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在工业互联网、智慧城市、智慧农业、智慧环保、智慧文旅、智慧社区、智慧物流等领域打造一批5G标杆应用场景。加快网络化服务管理信息平台、大数据中心等公共信息服务设施建设，促进新一代信息技术与城市规划、社会治理、民生服务、文化教育、生态环境等领域全面深度融合，开工建设信阳市城市运行管理服务平台、信阳市大数据中心等重点项目。（市发改委、市工信局、市农业农村局、市城市管理局、市政务大数据局、市生态环境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积极应用遥感监测、物联网、大数据、智能装备等新技术和装备，加快推动特色农产品产业生态链智能化建设，加速茶业（含油茶）全产业链数字化进程，开工建设新县野生油茶基地保护与综合开发、新县数字茶乡、潢川县水木光州未来农业科创中心等重点项目。（市农业农村局、市林茶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推动新能源装备制造、电子信息、生物医药、绿色建造等领域的龙头企业搭建云制造、云服务和工业互联网平台，立足产业供应链共性需求，推动中小企业上云，在重点领域实现设备共享、产能对接、生产协同，开工建设羊山新区智慧产业园（一期）、信阳高新区智能制造产业园等重点项目。（市工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加快电子商务与实体经济深度融合，逐步完善电子商务生态体系，支持电商、制造企业探索发展“多频道网络（MCN）+品牌工厂”、反向定制（C2M）等融合模式，加快推进淮滨五洲国际科创孵化园建设，开工建设浉河区林志科技创新孵化园。积极开展跨境电商企业对企业出口监管试点，布局双向跨境电商贸易平台和海外仓。（市商务局、市工信局、信阳海关）</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（5）稳步发展电子商务、金融、教育、旅游、远程医疗、智能交通等新业态，重点扶持移动电商、跨境电商、互联网金融、O2O模式等新型服务业。（市发改委、市商务局）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5、持续推动商务服务提质</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（1）培育总部经济，通过引进和培育，围绕先进制造业、现代服务业、现代农业和科技研发等领域，吸引一批国内知名企业来信阳设立总部、地区性总部或职能型总部。（市商务局）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（2）鼓励本市重点行业优势服务企业进一步做大做强，打造本土总部型企业。（市商务局、市工信局、市交通局、市农业农村局、市发改委）</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（3）通过盘活现有楼宇和依托智慧岛建设，扩大楼宇经济规模。（市商务局、市科技局、市住建局、市发改委）</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提升信用评估、建设工程勘察设计、工程咨询等专业服务水平，支持该类企业向集团化、综合化方向发展。做大做强人才招聘、职业中介、劳务派遣、人才培训等传统业态，支持一般性中介服务企业向“专、精、特、新”方向发展。（市发改委、市住建局、市自然资源规划局、市生态环境局、市人社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（5）以百花会展中心为龙头，统筹全市会展资源，积极开展品牌会展活动，创新会展传播宣传方式，努力打造区域性会展中心城市。（市商务局）</w:t>
      </w:r>
    </w:p>
    <w:p>
      <w:pPr>
        <w:tabs>
          <w:tab w:val="left" w:pos="813"/>
        </w:tabs>
        <w:bidi w:val="0"/>
        <w:jc w:val="both"/>
        <w:rPr>
          <w:rFonts w:hint="eastAsia" w:ascii="方正楷体_GBK" w:hAnsi="方正楷体_GBK" w:eastAsia="方正楷体_GBK" w:cs="方正楷体_GBK"/>
          <w:b/>
          <w:bCs/>
          <w:color w:val="000000"/>
          <w:sz w:val="32"/>
          <w:szCs w:val="32"/>
          <w:u w:val="none"/>
          <w:lang w:val="en-US" w:eastAsia="zh-CN"/>
        </w:rPr>
      </w:pPr>
      <w:r>
        <w:rPr>
          <w:rFonts w:hint="eastAsia" w:ascii="方正楷体_GBK" w:hAnsi="方正楷体_GBK" w:eastAsia="方正楷体_GBK" w:cs="方正楷体_GBK"/>
          <w:b/>
          <w:bCs/>
          <w:color w:val="000000"/>
          <w:sz w:val="32"/>
          <w:szCs w:val="32"/>
          <w:u w:val="none"/>
          <w:lang w:val="en-US" w:eastAsia="zh-CN"/>
        </w:rPr>
        <w:t xml:space="preserve">    （二）促进生活性服务业提升品质</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6、持续做优做大商贸服务</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对全市特别是中心城区的商业街的空间布局、经营特色、配套设施、生态景观等进一步合理规划，推进城市综合体项目、市级电子商务服务中心等类型项目建设，高标准建设城市“商圈经济”，完善大型购物中心功能，提升体验感，加快推进平桥区城市综合体项目建设，开工建设潢川县春晖城市综合体、固始县奥特莱斯城市综合体建设等项目。（市商务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规划改造一批老旧街区，规范发展特色旅游美食街区，打造一批传统特色街区、美食街区、精品夜市，重点打造胜利路步行街、鸡公山天街、小南门夜市、万达广场等一批特色街区。（市商务局、市文广旅局）</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打造“信阳菜”品牌，规划建设“信阳菜”产业园，打造现代化的中央厨房和冷链物流配送中心，加快培育“信阳菜”旗舰店、连锁店、快餐店等，打造全国连锁“信阳菜”餐饮品牌，开工建设浉河区信阳菜数智文旅产业园、羊山新区信阳市预制菜农副产业园等重点项目。（市文广旅局、市工信局、市商务局、市投资促进中心）</w:t>
      </w:r>
    </w:p>
    <w:p>
      <w:pPr>
        <w:tabs>
          <w:tab w:val="left" w:pos="75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（4）支持社区开展便民店建设，结合未来社区建设，着力提供智慧生活服务，逐步提供查询、预约、支付等服务。（市商务局）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7、持续打造文化旅游品牌</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巩固新县、浉河全域旅游示范区创建成果，积极推进创建平桥、商城、光山、罗山、固始、淮滨全域旅游示范区，持续培育鸡公山风景区、南湾湖风景区、商城金刚台国家地质公园、新县金兰山国家森林公园等重点景区旅游品牌，培育一批乡村旅游示范村，推出一批精品旅游路线，打造沿大别山旅游带。（市文广旅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进一步完善城市旅游集散中心、景区游客服务中心、旅游驿站、旅游道路、旅游公厕等基础配套设施，创建一批乡村旅游特色村、乡村旅游示范村、乡村旅游经营单位和品牌精品民宿，开工建设南湾湖风景区景点和旅游配套设施提升、百家主题民宿示范工程（一期）、羊山新区北湖文旅融合项目等重大项目。打造“快进慢游”的旅游交通网。（市文广旅局、市交通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统筹全市红色资源的挖掘利用，重点打造一批大别山精神红色研学培训品牌和青少年研学旅行品牌，开工建设大别山红色主题公园（一期）、红二十五军长征文化主题公园（商城县、潢川县、光山县段）等重大项目。（市文广旅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依托传统民俗文化、古民居古建筑和信阳独有的自然生态，以山水人文、茶乡风情、“豫风楚韵”为特色，发展茶旅、农旅、渔旅等新业态，开工建设潢川县光州历史文化综合体、浉河区田园综合体、光山县国家油茶综合示范园区等一批重点项目。（市文广旅局、市住建局、市农业农村局）</w:t>
      </w:r>
    </w:p>
    <w:p>
      <w:pPr>
        <w:tabs>
          <w:tab w:val="left" w:pos="813"/>
        </w:tabs>
        <w:bidi w:val="0"/>
        <w:ind w:firstLine="640"/>
        <w:jc w:val="both"/>
        <w:rPr>
          <w:rFonts w:hint="default"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围绕“行走河南·读懂中国”，加快沉浸式体验项目开发，推动数字化在文旅领域的场景应用，扩大“云、网、端”数字化基础设施覆盖面，完善市级智慧旅游开放开台功能，推动全市A级景区建设智慧景区，支持发展旅游直播、云演艺、云展览等新业态新模式，开工建设鸡公山风景区旅游基础设施建设等重点项目。（市文广旅局、市政务大数据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8、持续提升健康养老服务品质</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1）以大健康服务产业为引领，融合旅游、文化、教育、体育、养老等产业，积极发展以大健康产业为核心的幸福产业。依托我市特有生态资源，建设一批健康小镇、康养综合体，开工建设浉河区康养综合服务建设项目、罗山县兴福康养城、淮滨县养老产业示范园等一批重点项目。（市民政局、市文广旅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2）进一步完善各县域社会福利中心（养老）及配套设施，引入先进运营管理模式，在城镇探索“物业+养老托育”等新模式，开工建设新县安康医养结合养老服务中心、潢川县养老服务体系提升等项目。（市民政局、市卫健委、市住建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（3）支持养老育幼服务主体“上云用数赋智”，开展“智慧助老”行动，到2025年争取全市智慧养老服务平台尽早建成并投入使用，入网人数覆盖90%以上老年人。（市民政局、市卫健委）</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（4）加大养老从业人员培训力度，建设一批高素质、专业化养老服务人才队伍。（市民政局、市人社局）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（5）依托全市优良生态资源，大力发展森林康养基地建设，推动康养产业与旅游业融合发展。（市民政局、市林茶局、市文广旅局）</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（6）加强优质医疗服务供给，积极争创国家区域医疗中心，推动数字化医院建设，加快推进省级、市级全民健康信息平台互通互联。促进中医药事业发展。（市卫健委、市发改委）</w:t>
      </w:r>
    </w:p>
    <w:p>
      <w:pPr>
        <w:tabs>
          <w:tab w:val="left" w:pos="813"/>
        </w:tabs>
        <w:bidi w:val="0"/>
        <w:ind w:firstLine="640"/>
        <w:jc w:val="both"/>
        <w:rPr>
          <w:rFonts w:hint="eastAsia" w:ascii="方正黑体_GBK" w:hAnsi="方正黑体_GBK" w:eastAsia="方正黑体_GBK" w:cs="方正黑体_GBK"/>
          <w:color w:val="000000"/>
          <w:sz w:val="32"/>
          <w:szCs w:val="32"/>
          <w:u w:val="none"/>
          <w:lang w:val="en-US" w:eastAsia="zh-CN"/>
        </w:rPr>
      </w:pPr>
      <w:r>
        <w:rPr>
          <w:rFonts w:hint="eastAsia" w:ascii="方正黑体_GBK" w:hAnsi="方正黑体_GBK" w:eastAsia="方正黑体_GBK" w:cs="方正黑体_GBK"/>
          <w:color w:val="000000"/>
          <w:sz w:val="32"/>
          <w:szCs w:val="32"/>
          <w:u w:val="none"/>
          <w:lang w:val="en-US" w:eastAsia="zh-CN"/>
        </w:rPr>
        <w:t>三、保障措施</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1、提升政务服务水平</w:t>
      </w:r>
    </w:p>
    <w:p>
      <w:pPr>
        <w:tabs>
          <w:tab w:val="left" w:pos="813"/>
        </w:tabs>
        <w:bidi w:val="0"/>
        <w:ind w:firstLine="64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推进“证照分离”改革全覆盖，加快推进登记注册便利化改革，大力推广应用电子营业执照，带动高频涉企服务事项“跨省通办”。全面评估、排查、清理服务业市场准入不合理限制和隐性壁垒，实行台账式管理，到2025年实现台帐清零。（市市场监管局）</w:t>
      </w:r>
    </w:p>
    <w:p>
      <w:pPr>
        <w:tabs>
          <w:tab w:val="left" w:pos="813"/>
        </w:tabs>
        <w:bidi w:val="0"/>
        <w:ind w:firstLine="64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2、创新监督管理</w:t>
      </w:r>
    </w:p>
    <w:p>
      <w:pPr>
        <w:numPr>
          <w:ilvl w:val="0"/>
          <w:numId w:val="0"/>
        </w:numPr>
        <w:tabs>
          <w:tab w:val="left" w:pos="813"/>
        </w:tabs>
        <w:bidi w:val="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 xml:space="preserve">    持续完善信用信息共享平台和“互联网+监管”系统建设，推进信用分组分类监管和信用承诺制。实行包容审慎市场监管，创新共享经济、产业数字化、微经济等新服务监管模式，探索触发式监管机制和免罚清单等容错监管方式。积极在物流、金融、养老、托幼、家政等领域开展服务业标准化试点。（市发改委、市政务服务和大数据管理局、市市场监管局、各行业主管部门）</w:t>
      </w:r>
    </w:p>
    <w:p>
      <w:pPr>
        <w:numPr>
          <w:ilvl w:val="0"/>
          <w:numId w:val="0"/>
        </w:numPr>
        <w:tabs>
          <w:tab w:val="left" w:pos="813"/>
        </w:tabs>
        <w:bidi w:val="0"/>
        <w:ind w:left="630" w:leftChars="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3、强化要素配置</w:t>
      </w:r>
    </w:p>
    <w:p>
      <w:pPr>
        <w:numPr>
          <w:ilvl w:val="0"/>
          <w:numId w:val="0"/>
        </w:numPr>
        <w:tabs>
          <w:tab w:val="left" w:pos="813"/>
        </w:tabs>
        <w:bidi w:val="0"/>
        <w:ind w:firstLine="640" w:firstLineChars="200"/>
        <w:jc w:val="both"/>
        <w:rPr>
          <w:rFonts w:hint="eastAsia" w:ascii="方正仿宋_GBK" w:hAnsi="方正仿宋_GBK" w:eastAsia="方正仿宋_GBK" w:cs="方正仿宋_GBK"/>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推动融资服务创新，多渠道支持中小微服务业企业融资。加强服务业上市后备企业培育。探索研究针对总部经济、研发设计等领域更为精准的用地保障，探索将工业用地“标准地”出让向重大服务用地延伸，实现项目“拿地即开工”。加大高层次人才引进力度，积极推动品牌运营、主播等新业态新模式需求人才的培训。（市金融工作局、市自然资源规划局、市人社局）</w:t>
      </w:r>
    </w:p>
    <w:p>
      <w:pPr>
        <w:numPr>
          <w:ilvl w:val="0"/>
          <w:numId w:val="0"/>
        </w:numPr>
        <w:tabs>
          <w:tab w:val="left" w:pos="813"/>
        </w:tabs>
        <w:bidi w:val="0"/>
        <w:ind w:firstLine="642" w:firstLineChars="200"/>
        <w:jc w:val="both"/>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4、强化组织领导</w:t>
      </w:r>
    </w:p>
    <w:p>
      <w:pPr>
        <w:numPr>
          <w:ilvl w:val="0"/>
          <w:numId w:val="0"/>
        </w:numPr>
        <w:tabs>
          <w:tab w:val="left" w:pos="813"/>
        </w:tabs>
        <w:bidi w:val="0"/>
        <w:ind w:firstLine="640" w:firstLineChars="200"/>
        <w:jc w:val="both"/>
        <w:rPr>
          <w:rFonts w:hint="default" w:ascii="仿宋_GB2312" w:hAnsi="仿宋_GB2312" w:eastAsia="仿宋_GB2312" w:cs="仿宋_GB2312"/>
          <w:color w:val="000000"/>
          <w:sz w:val="32"/>
          <w:szCs w:val="32"/>
          <w:u w:val="none"/>
          <w:lang w:val="en-US" w:eastAsia="zh-CN"/>
        </w:rPr>
      </w:pPr>
      <w:r>
        <w:rPr>
          <w:rFonts w:hint="eastAsia" w:ascii="方正仿宋_GBK" w:hAnsi="方正仿宋_GBK" w:eastAsia="方正仿宋_GBK" w:cs="方正仿宋_GBK"/>
          <w:color w:val="000000"/>
          <w:sz w:val="32"/>
          <w:szCs w:val="32"/>
          <w:u w:val="none"/>
          <w:lang w:val="en-US" w:eastAsia="zh-CN"/>
        </w:rPr>
        <w:t>充分发挥市服务业领导小组统筹作用，协调落实稳定服务业运行各项政策。各相关部门要根据职责研究具体落实措施，并定期对重大事项、重点项目等工作推进情况进行总结、分析、评估、督促。</w:t>
      </w:r>
    </w:p>
    <w:p>
      <w:pPr>
        <w:pStyle w:val="2"/>
        <w:ind w:left="0" w:leftChars="0" w:firstLine="0" w:firstLineChars="0"/>
        <w:rPr>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D1133"/>
    <w:rsid w:val="1F9FF449"/>
    <w:rsid w:val="1FEF3FF4"/>
    <w:rsid w:val="1FFA9442"/>
    <w:rsid w:val="22FF729C"/>
    <w:rsid w:val="295F14ED"/>
    <w:rsid w:val="2F951E57"/>
    <w:rsid w:val="2FFE5031"/>
    <w:rsid w:val="33FB8E04"/>
    <w:rsid w:val="375B7E0A"/>
    <w:rsid w:val="3AF2F71C"/>
    <w:rsid w:val="3B9D3B9C"/>
    <w:rsid w:val="3BDFDA2D"/>
    <w:rsid w:val="3E5B8CC2"/>
    <w:rsid w:val="3EDFF51B"/>
    <w:rsid w:val="3EFD1133"/>
    <w:rsid w:val="3F7435FF"/>
    <w:rsid w:val="3F7F746D"/>
    <w:rsid w:val="3F9C28BD"/>
    <w:rsid w:val="3FD2F8A6"/>
    <w:rsid w:val="3FFF28FE"/>
    <w:rsid w:val="45DEEAFB"/>
    <w:rsid w:val="4EBF58CD"/>
    <w:rsid w:val="4FB84110"/>
    <w:rsid w:val="4FBFDC17"/>
    <w:rsid w:val="52DFEA7B"/>
    <w:rsid w:val="52EFE794"/>
    <w:rsid w:val="577A3AF2"/>
    <w:rsid w:val="579A5304"/>
    <w:rsid w:val="59DFE5DC"/>
    <w:rsid w:val="5DBFAA57"/>
    <w:rsid w:val="5DF5023F"/>
    <w:rsid w:val="5EF587FC"/>
    <w:rsid w:val="5FB503C9"/>
    <w:rsid w:val="5FBBC529"/>
    <w:rsid w:val="5FDD2843"/>
    <w:rsid w:val="5FEE3B5E"/>
    <w:rsid w:val="5FF639E2"/>
    <w:rsid w:val="5FFDA324"/>
    <w:rsid w:val="63F7A82F"/>
    <w:rsid w:val="67DF809D"/>
    <w:rsid w:val="67FBD756"/>
    <w:rsid w:val="67FFEB82"/>
    <w:rsid w:val="6EEFE8F7"/>
    <w:rsid w:val="6F7BD3F4"/>
    <w:rsid w:val="6FDF9B8A"/>
    <w:rsid w:val="6FF6446B"/>
    <w:rsid w:val="73667203"/>
    <w:rsid w:val="753D3266"/>
    <w:rsid w:val="757A76F4"/>
    <w:rsid w:val="769F6618"/>
    <w:rsid w:val="772F8DCB"/>
    <w:rsid w:val="77B2CCE0"/>
    <w:rsid w:val="77B72485"/>
    <w:rsid w:val="77F7C759"/>
    <w:rsid w:val="77FD20C0"/>
    <w:rsid w:val="77FFF912"/>
    <w:rsid w:val="78CD5750"/>
    <w:rsid w:val="79A4550E"/>
    <w:rsid w:val="7B1782F0"/>
    <w:rsid w:val="7B3F1492"/>
    <w:rsid w:val="7B5F98CC"/>
    <w:rsid w:val="7BBF0ECE"/>
    <w:rsid w:val="7BF724C1"/>
    <w:rsid w:val="7BFEBB10"/>
    <w:rsid w:val="7D533DDA"/>
    <w:rsid w:val="7D6F0354"/>
    <w:rsid w:val="7DAF1D6B"/>
    <w:rsid w:val="7DB767DC"/>
    <w:rsid w:val="7DB7DA9A"/>
    <w:rsid w:val="7DBD95A0"/>
    <w:rsid w:val="7E1E70F8"/>
    <w:rsid w:val="7EC7CF18"/>
    <w:rsid w:val="7EDDB475"/>
    <w:rsid w:val="7F5C011B"/>
    <w:rsid w:val="7F5FB839"/>
    <w:rsid w:val="7F770D0B"/>
    <w:rsid w:val="7F8CCA97"/>
    <w:rsid w:val="7FD500E9"/>
    <w:rsid w:val="7FDF1656"/>
    <w:rsid w:val="7FE32A6F"/>
    <w:rsid w:val="7FF57086"/>
    <w:rsid w:val="7FFE5C68"/>
    <w:rsid w:val="7FFFDE6B"/>
    <w:rsid w:val="89B916D4"/>
    <w:rsid w:val="8BFC27F6"/>
    <w:rsid w:val="979E0639"/>
    <w:rsid w:val="97B76277"/>
    <w:rsid w:val="99EA8137"/>
    <w:rsid w:val="9B9FA8A7"/>
    <w:rsid w:val="9F750E0E"/>
    <w:rsid w:val="A65689CD"/>
    <w:rsid w:val="A7FFDE4B"/>
    <w:rsid w:val="AC237D70"/>
    <w:rsid w:val="AE7F1676"/>
    <w:rsid w:val="AFFF3B67"/>
    <w:rsid w:val="B59EC55A"/>
    <w:rsid w:val="B77B7232"/>
    <w:rsid w:val="B7FDEDB6"/>
    <w:rsid w:val="BBEAA195"/>
    <w:rsid w:val="BBFE2CCD"/>
    <w:rsid w:val="BF4DA1BE"/>
    <w:rsid w:val="BFDCBEFF"/>
    <w:rsid w:val="BFEDCBB6"/>
    <w:rsid w:val="CBFFB8DB"/>
    <w:rsid w:val="CEEF7D3E"/>
    <w:rsid w:val="CFFD6C3B"/>
    <w:rsid w:val="D5F55B9D"/>
    <w:rsid w:val="D673F2CE"/>
    <w:rsid w:val="D73EEE97"/>
    <w:rsid w:val="D7FE5ACA"/>
    <w:rsid w:val="D7FF0ECC"/>
    <w:rsid w:val="DBFBAD72"/>
    <w:rsid w:val="DBFE85BB"/>
    <w:rsid w:val="DCF5D5D7"/>
    <w:rsid w:val="DD9DBFCF"/>
    <w:rsid w:val="DDEF2845"/>
    <w:rsid w:val="DF3DDE63"/>
    <w:rsid w:val="DF8DD544"/>
    <w:rsid w:val="DFD7E1D5"/>
    <w:rsid w:val="E3CD1263"/>
    <w:rsid w:val="E7FD9F70"/>
    <w:rsid w:val="EA6F15EF"/>
    <w:rsid w:val="EE87E065"/>
    <w:rsid w:val="EF6F1A81"/>
    <w:rsid w:val="EF8782D8"/>
    <w:rsid w:val="EFDEB53D"/>
    <w:rsid w:val="EFEA8E3E"/>
    <w:rsid w:val="EFEBC930"/>
    <w:rsid w:val="EFED1839"/>
    <w:rsid w:val="EFF7990B"/>
    <w:rsid w:val="EFF7FC7E"/>
    <w:rsid w:val="EFFF1053"/>
    <w:rsid w:val="F10E9420"/>
    <w:rsid w:val="F2BFC09D"/>
    <w:rsid w:val="F3DF34C7"/>
    <w:rsid w:val="F5DF0A1A"/>
    <w:rsid w:val="F5F73942"/>
    <w:rsid w:val="F75F2A92"/>
    <w:rsid w:val="F7DEDDCD"/>
    <w:rsid w:val="F7EDFE9E"/>
    <w:rsid w:val="F7FE0A64"/>
    <w:rsid w:val="F7FF614B"/>
    <w:rsid w:val="FA37825C"/>
    <w:rsid w:val="FB4FB827"/>
    <w:rsid w:val="FB55DE35"/>
    <w:rsid w:val="FBBF0DCB"/>
    <w:rsid w:val="FBFE4791"/>
    <w:rsid w:val="FBFFC754"/>
    <w:rsid w:val="FCDA3B62"/>
    <w:rsid w:val="FD36CB95"/>
    <w:rsid w:val="FDBE05E3"/>
    <w:rsid w:val="FDBE874C"/>
    <w:rsid w:val="FDEE6138"/>
    <w:rsid w:val="FDFDDBE9"/>
    <w:rsid w:val="FE7F0823"/>
    <w:rsid w:val="FE9A8882"/>
    <w:rsid w:val="FEBF4839"/>
    <w:rsid w:val="FEEB6C90"/>
    <w:rsid w:val="FEF239C5"/>
    <w:rsid w:val="FEF4D000"/>
    <w:rsid w:val="FF372EF8"/>
    <w:rsid w:val="FF4FE303"/>
    <w:rsid w:val="FF7FAA8A"/>
    <w:rsid w:val="FFB55B76"/>
    <w:rsid w:val="FFDE0A72"/>
    <w:rsid w:val="FFDF81EC"/>
    <w:rsid w:val="FFE14C9F"/>
    <w:rsid w:val="FFE62145"/>
    <w:rsid w:val="FFEE7A9A"/>
    <w:rsid w:val="FFFB8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ind w:firstLine="200" w:firstLineChars="200"/>
      <w:jc w:val="left"/>
      <w:outlineLvl w:val="0"/>
    </w:pPr>
    <w:rPr>
      <w:rFonts w:hint="eastAsia" w:ascii="宋体" w:hAnsi="宋体" w:eastAsia="黑体" w:cs="Times New Roman"/>
      <w:b/>
      <w:kern w:val="44"/>
      <w:sz w:val="32"/>
      <w:szCs w:val="48"/>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Calibri" w:hAnsi="Calibri" w:eastAsia="宋体" w:cs="Times New Roman"/>
      <w:sz w:val="24"/>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2"/>
    <w:basedOn w:val="1"/>
    <w:qFormat/>
    <w:uiPriority w:val="0"/>
    <w:pPr>
      <w:spacing w:after="120" w:afterAutospacing="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2022-12-03T00:24:00Z</dcterms:created>
  <dc:creator>guest</dc:creator>
  <cp:lastModifiedBy>guest</cp:lastModifiedBy>
  <dcterms:modified xsi:type="dcterms:W3CDTF">2023-05-23T16:58:04Z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